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131AE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131AE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AF4732" w:rsidRPr="00AF4732" w:rsidRDefault="00792DC7" w:rsidP="00AF473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="004E761D" w:rsidRPr="004E761D">
        <w:rPr>
          <w:rFonts w:ascii="Times New Roman" w:hAnsi="Times New Roman"/>
          <w:sz w:val="18"/>
          <w:szCs w:val="18"/>
        </w:rPr>
        <w:t>Исполнитель предоставляет, а Заказчик</w:t>
      </w:r>
      <w:r w:rsidRPr="00360C2F">
        <w:rPr>
          <w:rFonts w:ascii="Times New Roman" w:hAnsi="Times New Roman"/>
          <w:sz w:val="18"/>
          <w:szCs w:val="18"/>
        </w:rPr>
        <w:t xml:space="preserve"> оплачивает обучение</w:t>
      </w:r>
      <w:r w:rsidR="00CC0D7F">
        <w:rPr>
          <w:rFonts w:ascii="Times New Roman" w:hAnsi="Times New Roman"/>
          <w:sz w:val="18"/>
          <w:szCs w:val="18"/>
        </w:rPr>
        <w:t>,</w:t>
      </w:r>
      <w:r w:rsidRPr="00360C2F">
        <w:rPr>
          <w:rFonts w:ascii="Times New Roman" w:hAnsi="Times New Roman"/>
          <w:sz w:val="18"/>
          <w:szCs w:val="18"/>
        </w:rPr>
        <w:t xml:space="preserve"> по </w:t>
      </w:r>
      <w:r w:rsidR="00AF4732" w:rsidRPr="00AF4732">
        <w:rPr>
          <w:rFonts w:ascii="Times New Roman" w:hAnsi="Times New Roman"/>
          <w:sz w:val="18"/>
          <w:szCs w:val="18"/>
        </w:rPr>
        <w:t>программе подготовки водителей транспортных средств  категории «А» по очной форме обучения.</w:t>
      </w:r>
    </w:p>
    <w:p w:rsidR="00AF4732" w:rsidRPr="00AF4732" w:rsidRDefault="00AF4732" w:rsidP="00AF473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F4732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AF4732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AF4732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AF4732" w:rsidRPr="00AF4732" w:rsidRDefault="00AF4732" w:rsidP="00AF473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F4732">
        <w:rPr>
          <w:rFonts w:ascii="Times New Roman" w:hAnsi="Times New Roman"/>
          <w:sz w:val="18"/>
          <w:szCs w:val="18"/>
        </w:rPr>
        <w:t>- теоретическая часть  110  часов;</w:t>
      </w:r>
    </w:p>
    <w:p w:rsidR="00AF4732" w:rsidRDefault="00AF4732" w:rsidP="00AF473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F4732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19 часов;</w:t>
      </w:r>
    </w:p>
    <w:p w:rsidR="00792DC7" w:rsidRPr="00360C2F" w:rsidRDefault="00792DC7" w:rsidP="00AF473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1.1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1.3. После прохождения </w:t>
      </w:r>
      <w:r w:rsidR="00CC0D7F">
        <w:rPr>
          <w:rFonts w:ascii="Times New Roman" w:hAnsi="Times New Roman"/>
          <w:sz w:val="18"/>
          <w:szCs w:val="18"/>
        </w:rPr>
        <w:t>Заказчиком</w:t>
      </w:r>
      <w:r w:rsidRPr="00360C2F">
        <w:rPr>
          <w:rFonts w:ascii="Times New Roman" w:hAnsi="Times New Roman"/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</w:t>
      </w:r>
      <w:r w:rsidRPr="00360C2F">
        <w:rPr>
          <w:rFonts w:ascii="Times New Roman" w:hAnsi="Times New Roman"/>
          <w:sz w:val="18"/>
          <w:szCs w:val="18"/>
        </w:rPr>
        <w:lastRenderedPageBreak/>
        <w:t xml:space="preserve">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 w:rsidR="00AF4732" w:rsidRPr="00AF4732">
        <w:rPr>
          <w:rFonts w:ascii="Times New Roman" w:hAnsi="Times New Roman"/>
          <w:sz w:val="18"/>
          <w:szCs w:val="18"/>
        </w:rPr>
        <w:t>13100 (тринадцать тысяч сто)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 w:rsidR="00AF4732">
        <w:rPr>
          <w:rFonts w:ascii="Times New Roman" w:hAnsi="Times New Roman"/>
          <w:sz w:val="18"/>
          <w:szCs w:val="18"/>
        </w:rPr>
        <w:t>7</w:t>
      </w:r>
      <w:r w:rsidRPr="005D6513">
        <w:rPr>
          <w:rFonts w:ascii="Times New Roman" w:hAnsi="Times New Roman"/>
          <w:sz w:val="18"/>
          <w:szCs w:val="18"/>
        </w:rPr>
        <w:t>000 руб. (</w:t>
      </w:r>
      <w:r w:rsidR="00AF4732">
        <w:rPr>
          <w:rFonts w:ascii="Times New Roman" w:hAnsi="Times New Roman"/>
          <w:sz w:val="18"/>
          <w:szCs w:val="18"/>
        </w:rPr>
        <w:t>семь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761D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2DC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4732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D0773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6278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D8FE-4395-4BB6-931A-929BC5A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</cp:revision>
  <cp:lastPrinted>2018-02-09T06:37:00Z</cp:lastPrinted>
  <dcterms:created xsi:type="dcterms:W3CDTF">2018-02-26T12:08:00Z</dcterms:created>
  <dcterms:modified xsi:type="dcterms:W3CDTF">2018-03-04T11:47:00Z</dcterms:modified>
</cp:coreProperties>
</file>