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программе </w:t>
      </w:r>
      <w:r w:rsidR="000A742A" w:rsidRPr="000A742A">
        <w:rPr>
          <w:rFonts w:ascii="Times New Roman" w:hAnsi="Times New Roman"/>
          <w:sz w:val="18"/>
          <w:szCs w:val="18"/>
        </w:rPr>
        <w:t>переподготовки водителей транспортных сре</w:t>
      </w:r>
      <w:proofErr w:type="gramStart"/>
      <w:r w:rsidR="000A742A" w:rsidRPr="000A742A">
        <w:rPr>
          <w:rFonts w:ascii="Times New Roman" w:hAnsi="Times New Roman"/>
          <w:sz w:val="18"/>
          <w:szCs w:val="18"/>
        </w:rPr>
        <w:t>дств  с к</w:t>
      </w:r>
      <w:proofErr w:type="gramEnd"/>
      <w:r w:rsidR="000A742A" w:rsidRPr="000A742A">
        <w:rPr>
          <w:rFonts w:ascii="Times New Roman" w:hAnsi="Times New Roman"/>
          <w:sz w:val="18"/>
          <w:szCs w:val="18"/>
        </w:rPr>
        <w:t>атегории «С»  на категорию «</w:t>
      </w:r>
      <w:r w:rsidR="000A742A">
        <w:rPr>
          <w:rFonts w:ascii="Times New Roman" w:hAnsi="Times New Roman"/>
          <w:sz w:val="18"/>
          <w:szCs w:val="18"/>
        </w:rPr>
        <w:t>В</w:t>
      </w:r>
      <w:r w:rsidR="000A742A" w:rsidRPr="000A742A">
        <w:rPr>
          <w:rFonts w:ascii="Times New Roman" w:hAnsi="Times New Roman"/>
          <w:sz w:val="18"/>
          <w:szCs w:val="18"/>
        </w:rPr>
        <w:t>» по очной форме обучения.</w:t>
      </w:r>
    </w:p>
    <w:p w:rsidR="00940678" w:rsidRDefault="005F0FF4" w:rsidP="009406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>
        <w:rPr>
          <w:rFonts w:ascii="Times New Roman" w:hAnsi="Times New Roman"/>
          <w:sz w:val="18"/>
          <w:szCs w:val="18"/>
        </w:rPr>
        <w:t xml:space="preserve">обучения </w:t>
      </w:r>
      <w:r w:rsidR="00940678" w:rsidRPr="00940678">
        <w:rPr>
          <w:rFonts w:ascii="Times New Roman" w:hAnsi="Times New Roman"/>
          <w:sz w:val="18"/>
          <w:szCs w:val="18"/>
        </w:rPr>
        <w:t>по</w:t>
      </w:r>
      <w:proofErr w:type="gramEnd"/>
      <w:r w:rsidR="00940678" w:rsidRPr="00940678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940678" w:rsidRPr="00940678" w:rsidRDefault="00940678" w:rsidP="009406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40678">
        <w:rPr>
          <w:rFonts w:ascii="Times New Roman" w:hAnsi="Times New Roman"/>
          <w:sz w:val="18"/>
          <w:szCs w:val="18"/>
        </w:rPr>
        <w:t>теоретическая часть 35 часов;</w:t>
      </w:r>
    </w:p>
    <w:p w:rsidR="00940678" w:rsidRDefault="00940678" w:rsidP="0094067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40678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27 часов;</w:t>
      </w:r>
    </w:p>
    <w:p w:rsidR="00792DC7" w:rsidRPr="00360C2F" w:rsidRDefault="00792DC7" w:rsidP="0094067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6F428D">
        <w:rPr>
          <w:rFonts w:ascii="Times New Roman" w:hAnsi="Times New Roman"/>
          <w:sz w:val="18"/>
          <w:szCs w:val="18"/>
        </w:rPr>
        <w:t>оригинал водительского удостоверения (с соответствующей открытой разрешенной категорией транспортного средства с которой будет производиться переподготовка по программе)</w:t>
      </w:r>
      <w:r w:rsidR="007B6B4A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940678">
        <w:rPr>
          <w:rFonts w:ascii="Times New Roman" w:hAnsi="Times New Roman"/>
          <w:sz w:val="18"/>
          <w:szCs w:val="18"/>
        </w:rPr>
        <w:t>18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00 (</w:t>
      </w:r>
      <w:r w:rsidR="00940678">
        <w:rPr>
          <w:rFonts w:ascii="Times New Roman" w:hAnsi="Times New Roman"/>
          <w:sz w:val="18"/>
          <w:szCs w:val="18"/>
        </w:rPr>
        <w:t>восемнадцать тысяч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A742A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5F0FF4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6F428D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B6B4A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0678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60A5-A936-40A7-9B54-900D8B02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13</cp:revision>
  <cp:lastPrinted>2018-02-09T06:37:00Z</cp:lastPrinted>
  <dcterms:created xsi:type="dcterms:W3CDTF">2018-02-26T12:08:00Z</dcterms:created>
  <dcterms:modified xsi:type="dcterms:W3CDTF">2018-03-04T11:25:00Z</dcterms:modified>
</cp:coreProperties>
</file>